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1F36A8" w:rsidRPr="001F36A8">
        <w:rPr>
          <w:rFonts w:ascii="GHEA Grapalat" w:eastAsia="Times New Roman" w:hAnsi="GHEA Grapalat" w:cs="Times New Roman"/>
          <w:b/>
          <w:sz w:val="24"/>
          <w:szCs w:val="24"/>
        </w:rPr>
        <w:t>24</w:t>
      </w:r>
      <w:proofErr w:type="gramEnd"/>
      <w:r w:rsidR="000D6843" w:rsidRPr="000D6843">
        <w:rPr>
          <w:rFonts w:ascii="GHEA Grapalat" w:eastAsia="Times New Roman" w:hAnsi="GHEA Grapalat" w:cs="Times New Roman"/>
          <w:b/>
          <w:sz w:val="24"/>
          <w:szCs w:val="24"/>
        </w:rPr>
        <w:t xml:space="preserve"> July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00E0185F">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1F36A8"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sidR="00C83F7A">
        <w:rPr>
          <w:rFonts w:ascii="GHEA Grapalat" w:eastAsia="Times New Roman" w:hAnsi="GHEA Grapalat" w:cs="Times New Roman"/>
          <w:b/>
          <w:sz w:val="24"/>
          <w:szCs w:val="24"/>
        </w:rPr>
        <w:t>20/3</w:t>
      </w:r>
      <w:bookmarkStart w:id="0" w:name="_GoBack"/>
      <w:bookmarkEnd w:id="0"/>
      <w:r w:rsidR="001F36A8" w:rsidRPr="001F36A8">
        <w:rPr>
          <w:rFonts w:ascii="GHEA Grapalat" w:eastAsia="Times New Roman" w:hAnsi="GHEA Grapalat" w:cs="Times New Roman"/>
          <w:b/>
          <w:sz w:val="24"/>
          <w:szCs w:val="24"/>
        </w:rPr>
        <w:t>9</w:t>
      </w:r>
    </w:p>
    <w:tbl>
      <w:tblPr>
        <w:tblW w:w="0" w:type="auto"/>
        <w:tblLook w:val="04A0"/>
      </w:tblPr>
      <w:tblGrid>
        <w:gridCol w:w="9747"/>
      </w:tblGrid>
      <w:tr w:rsidR="00CD1775" w:rsidRPr="00CD1775" w:rsidTr="00C83F7A">
        <w:trPr>
          <w:trHeight w:val="2930"/>
        </w:trPr>
        <w:tc>
          <w:tcPr>
            <w:tcW w:w="9747"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office supplies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sz w:val="24"/>
                <w:szCs w:val="24"/>
                <w:lang w:val="en-AU"/>
              </w:rPr>
              <w:lastRenderedPageBreak/>
              <w:t xml:space="preserve">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1F36A8" w:rsidRPr="001F36A8">
              <w:rPr>
                <w:rFonts w:ascii="GHEA Grapalat" w:eastAsia="Times New Roman" w:hAnsi="GHEA Grapalat" w:cs="Times New Roman"/>
                <w:b/>
                <w:sz w:val="24"/>
                <w:szCs w:val="24"/>
              </w:rPr>
              <w:t>31</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0D6843" w:rsidRPr="000D6843">
              <w:rPr>
                <w:rFonts w:ascii="GHEA Grapalat" w:eastAsia="Times New Roman" w:hAnsi="GHEA Grapalat" w:cs="Times New Roman"/>
                <w:b/>
                <w:sz w:val="24"/>
                <w:szCs w:val="24"/>
                <w:lang w:val="en-AU"/>
              </w:rPr>
              <w:t>July</w:t>
            </w:r>
            <w:proofErr w:type="gramEnd"/>
            <w:r w:rsidRPr="00CD1775">
              <w:rPr>
                <w:rFonts w:ascii="GHEA Grapalat" w:eastAsia="Times New Roman" w:hAnsi="GHEA Grapalat" w:cs="Times New Roman"/>
                <w:b/>
                <w:sz w:val="24"/>
                <w:szCs w:val="24"/>
                <w:lang w:val="en-AU"/>
              </w:rPr>
              <w:t>" "20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4"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E0185F">
      <w:pgSz w:w="12240" w:h="15840"/>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47A"/>
    <w:rsid w:val="000D6843"/>
    <w:rsid w:val="001409AC"/>
    <w:rsid w:val="00155241"/>
    <w:rsid w:val="001F36A8"/>
    <w:rsid w:val="002F1BC5"/>
    <w:rsid w:val="003A643D"/>
    <w:rsid w:val="004C49E0"/>
    <w:rsid w:val="0069047A"/>
    <w:rsid w:val="007E1FA6"/>
    <w:rsid w:val="00C83F7A"/>
    <w:rsid w:val="00CD1775"/>
    <w:rsid w:val="00E01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Home</cp:lastModifiedBy>
  <cp:revision>7</cp:revision>
  <dcterms:created xsi:type="dcterms:W3CDTF">2020-03-24T15:16:00Z</dcterms:created>
  <dcterms:modified xsi:type="dcterms:W3CDTF">2020-07-23T19:14:00Z</dcterms:modified>
</cp:coreProperties>
</file>